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17C" w:rsidRPr="003E717C" w:rsidRDefault="003E717C" w:rsidP="003E717C">
      <w:pPr>
        <w:spacing w:after="180" w:line="240" w:lineRule="auto"/>
        <w:jc w:val="center"/>
        <w:outlineLvl w:val="0"/>
        <w:rPr>
          <w:rFonts w:ascii="Times New Roman" w:eastAsia="Times New Roman" w:hAnsi="Times New Roman" w:cs="Times New Roman"/>
          <w:color w:val="21201F"/>
          <w:kern w:val="36"/>
          <w:sz w:val="62"/>
          <w:szCs w:val="62"/>
          <w:lang w:eastAsia="it-CH"/>
        </w:rPr>
      </w:pPr>
      <w:r w:rsidRPr="003E717C">
        <w:rPr>
          <w:rFonts w:ascii="Times New Roman" w:eastAsia="Times New Roman" w:hAnsi="Times New Roman" w:cs="Times New Roman"/>
          <w:color w:val="21201F"/>
          <w:kern w:val="36"/>
          <w:sz w:val="62"/>
          <w:szCs w:val="62"/>
          <w:lang w:eastAsia="it-CH"/>
        </w:rPr>
        <w:t>ASSARMATORI: sbloccare subito i fondi per rinnovare la flotta</w:t>
      </w:r>
    </w:p>
    <w:p w:rsidR="003E717C" w:rsidRPr="003E717C" w:rsidRDefault="003E717C" w:rsidP="003E717C">
      <w:pPr>
        <w:spacing w:after="105" w:line="0" w:lineRule="auto"/>
        <w:textAlignment w:val="center"/>
        <w:rPr>
          <w:rFonts w:ascii="Times New Roman" w:eastAsia="Times New Roman" w:hAnsi="Times New Roman" w:cs="Times New Roman"/>
          <w:color w:val="7C7C7C"/>
          <w:sz w:val="21"/>
          <w:szCs w:val="21"/>
          <w:lang w:eastAsia="it-CH"/>
        </w:rPr>
      </w:pPr>
      <w:proofErr w:type="gramStart"/>
      <w:r w:rsidRPr="003E717C">
        <w:rPr>
          <w:rFonts w:ascii="Times New Roman" w:eastAsia="Times New Roman" w:hAnsi="Times New Roman" w:cs="Times New Roman"/>
          <w:color w:val="7C7C7C"/>
          <w:sz w:val="21"/>
          <w:szCs w:val="21"/>
          <w:lang w:eastAsia="it-CH"/>
        </w:rPr>
        <w:t>by</w:t>
      </w:r>
      <w:proofErr w:type="gramEnd"/>
      <w:r w:rsidRPr="003E717C">
        <w:rPr>
          <w:rFonts w:ascii="Times New Roman" w:eastAsia="Times New Roman" w:hAnsi="Times New Roman" w:cs="Times New Roman"/>
          <w:color w:val="7C7C7C"/>
          <w:sz w:val="21"/>
          <w:szCs w:val="21"/>
          <w:lang w:eastAsia="it-CH"/>
        </w:rPr>
        <w:t> </w:t>
      </w:r>
      <w:hyperlink r:id="rId4" w:history="1">
        <w:r w:rsidRPr="003E717C">
          <w:rPr>
            <w:rFonts w:ascii="Times New Roman" w:eastAsia="Times New Roman" w:hAnsi="Times New Roman" w:cs="Times New Roman"/>
            <w:b/>
            <w:bCs/>
            <w:color w:val="EF7583"/>
            <w:sz w:val="21"/>
            <w:szCs w:val="21"/>
            <w:lang w:eastAsia="it-CH"/>
          </w:rPr>
          <w:t>Redazione</w:t>
        </w:r>
      </w:hyperlink>
    </w:p>
    <w:p w:rsidR="003E717C" w:rsidRPr="003E717C" w:rsidRDefault="003E717C" w:rsidP="003E717C">
      <w:pPr>
        <w:spacing w:after="0" w:line="0" w:lineRule="auto"/>
        <w:jc w:val="center"/>
        <w:rPr>
          <w:rFonts w:ascii="Times New Roman" w:eastAsia="Times New Roman" w:hAnsi="Times New Roman" w:cs="Times New Roman"/>
          <w:sz w:val="2"/>
          <w:szCs w:val="2"/>
          <w:lang w:eastAsia="it-CH"/>
        </w:rPr>
      </w:pPr>
      <w:bookmarkStart w:id="0" w:name="_GoBack"/>
      <w:bookmarkEnd w:id="0"/>
      <w:r w:rsidRPr="003E717C">
        <w:rPr>
          <w:rFonts w:ascii="Times New Roman" w:eastAsia="Times New Roman" w:hAnsi="Times New Roman" w:cs="Times New Roman"/>
          <w:sz w:val="2"/>
          <w:szCs w:val="2"/>
          <w:lang w:eastAsia="it-CH"/>
        </w:rPr>
        <w:t> </w:t>
      </w:r>
    </w:p>
    <w:p w:rsidR="003E717C" w:rsidRPr="003E717C" w:rsidRDefault="003E717C" w:rsidP="003E717C">
      <w:pPr>
        <w:spacing w:after="0" w:line="0" w:lineRule="auto"/>
        <w:jc w:val="center"/>
        <w:rPr>
          <w:rFonts w:ascii="Times New Roman" w:eastAsia="Times New Roman" w:hAnsi="Times New Roman" w:cs="Times New Roman"/>
          <w:sz w:val="2"/>
          <w:szCs w:val="2"/>
          <w:lang w:eastAsia="it-CH"/>
        </w:rPr>
      </w:pPr>
      <w:r w:rsidRPr="003E717C">
        <w:rPr>
          <w:rFonts w:ascii="Times New Roman" w:eastAsia="Times New Roman" w:hAnsi="Times New Roman" w:cs="Times New Roman"/>
          <w:sz w:val="2"/>
          <w:szCs w:val="2"/>
          <w:lang w:eastAsia="it-CH"/>
        </w:rPr>
        <w:t> </w:t>
      </w:r>
    </w:p>
    <w:p w:rsidR="003E717C" w:rsidRPr="003E717C" w:rsidRDefault="003E717C" w:rsidP="003E717C">
      <w:pPr>
        <w:spacing w:after="0" w:line="0" w:lineRule="auto"/>
        <w:jc w:val="center"/>
        <w:textAlignment w:val="center"/>
        <w:rPr>
          <w:rFonts w:ascii="Times New Roman" w:eastAsia="Times New Roman" w:hAnsi="Times New Roman" w:cs="Times New Roman"/>
          <w:sz w:val="2"/>
          <w:szCs w:val="2"/>
          <w:lang w:eastAsia="it-CH"/>
        </w:rPr>
      </w:pPr>
      <w:hyperlink r:id="rId5" w:history="1">
        <w:r w:rsidRPr="003E717C">
          <w:rPr>
            <w:rFonts w:ascii="Times New Roman" w:eastAsia="Times New Roman" w:hAnsi="Times New Roman" w:cs="Times New Roman"/>
            <w:b/>
            <w:bCs/>
            <w:caps/>
            <w:color w:val="EF7583"/>
            <w:spacing w:val="30"/>
            <w:sz w:val="18"/>
            <w:szCs w:val="18"/>
            <w:shd w:val="clear" w:color="auto" w:fill="FFE9EC"/>
            <w:lang w:eastAsia="it-CH"/>
          </w:rPr>
          <w:t>COMUNICATI STAMPA</w:t>
        </w:r>
      </w:hyperlink>
      <w:r w:rsidRPr="003E717C">
        <w:rPr>
          <w:rFonts w:ascii="Times New Roman" w:eastAsia="Times New Roman" w:hAnsi="Times New Roman" w:cs="Times New Roman"/>
          <w:sz w:val="2"/>
          <w:szCs w:val="2"/>
          <w:lang w:eastAsia="it-CH"/>
        </w:rPr>
        <w:t> </w:t>
      </w:r>
      <w:hyperlink r:id="rId6" w:history="1">
        <w:r w:rsidRPr="003E717C">
          <w:rPr>
            <w:rFonts w:ascii="Times New Roman" w:eastAsia="Times New Roman" w:hAnsi="Times New Roman" w:cs="Times New Roman"/>
            <w:b/>
            <w:bCs/>
            <w:caps/>
            <w:color w:val="EF7583"/>
            <w:spacing w:val="30"/>
            <w:sz w:val="18"/>
            <w:szCs w:val="18"/>
            <w:shd w:val="clear" w:color="auto" w:fill="FFE9EC"/>
            <w:lang w:eastAsia="it-CH"/>
          </w:rPr>
          <w:t>EVENTI ITALIA</w:t>
        </w:r>
      </w:hyperlink>
    </w:p>
    <w:p w:rsidR="003E717C" w:rsidRPr="003E717C" w:rsidRDefault="003E717C" w:rsidP="003E717C">
      <w:pPr>
        <w:spacing w:after="0" w:line="0" w:lineRule="auto"/>
        <w:jc w:val="center"/>
        <w:rPr>
          <w:rFonts w:ascii="Times New Roman" w:eastAsia="Times New Roman" w:hAnsi="Times New Roman" w:cs="Times New Roman"/>
          <w:sz w:val="2"/>
          <w:szCs w:val="2"/>
          <w:lang w:eastAsia="it-CH"/>
        </w:rPr>
      </w:pPr>
      <w:r w:rsidRPr="003E717C">
        <w:rPr>
          <w:rFonts w:ascii="Times New Roman" w:eastAsia="Times New Roman" w:hAnsi="Times New Roman" w:cs="Times New Roman"/>
          <w:sz w:val="2"/>
          <w:szCs w:val="2"/>
          <w:lang w:eastAsia="it-CH"/>
        </w:rPr>
        <w:t> </w:t>
      </w:r>
    </w:p>
    <w:p w:rsidR="003E717C" w:rsidRPr="003E717C" w:rsidRDefault="003E717C" w:rsidP="003E717C">
      <w:pPr>
        <w:spacing w:after="0" w:line="0" w:lineRule="auto"/>
        <w:jc w:val="center"/>
        <w:rPr>
          <w:rFonts w:ascii="Times New Roman" w:eastAsia="Times New Roman" w:hAnsi="Times New Roman" w:cs="Times New Roman"/>
          <w:sz w:val="2"/>
          <w:szCs w:val="2"/>
          <w:lang w:eastAsia="it-CH"/>
        </w:rPr>
      </w:pPr>
      <w:r w:rsidRPr="003E717C">
        <w:rPr>
          <w:rFonts w:ascii="Times New Roman" w:eastAsia="Times New Roman" w:hAnsi="Times New Roman" w:cs="Times New Roman"/>
          <w:sz w:val="2"/>
          <w:szCs w:val="2"/>
          <w:lang w:eastAsia="it-CH"/>
        </w:rPr>
        <w:t> </w:t>
      </w:r>
    </w:p>
    <w:p w:rsidR="003E717C" w:rsidRPr="003E717C" w:rsidRDefault="003E717C" w:rsidP="003E717C">
      <w:pPr>
        <w:spacing w:after="0" w:line="0" w:lineRule="auto"/>
        <w:jc w:val="center"/>
        <w:textAlignment w:val="center"/>
        <w:rPr>
          <w:rFonts w:ascii="Source Sans Pro" w:eastAsia="Times New Roman" w:hAnsi="Source Sans Pro" w:cs="Times New Roman"/>
          <w:color w:val="7C7C7C"/>
          <w:sz w:val="2"/>
          <w:szCs w:val="2"/>
          <w:lang w:eastAsia="it-CH"/>
        </w:rPr>
      </w:pPr>
      <w:r w:rsidRPr="003E717C">
        <w:rPr>
          <w:rFonts w:ascii="Source Sans Pro" w:eastAsia="Times New Roman" w:hAnsi="Source Sans Pro" w:cs="Times New Roman"/>
          <w:color w:val="7C7C7C"/>
          <w:sz w:val="2"/>
          <w:szCs w:val="2"/>
          <w:lang w:eastAsia="it-CH"/>
        </w:rPr>
        <w:t> </w:t>
      </w:r>
      <w:hyperlink r:id="rId7" w:anchor="comments" w:history="1">
        <w:r w:rsidRPr="003E717C">
          <w:rPr>
            <w:rFonts w:ascii="Source Sans Pro" w:eastAsia="Times New Roman" w:hAnsi="Source Sans Pro" w:cs="Times New Roman"/>
            <w:color w:val="0000FF"/>
            <w:sz w:val="24"/>
            <w:szCs w:val="24"/>
            <w:lang w:eastAsia="it-CH"/>
          </w:rPr>
          <w:t xml:space="preserve">No </w:t>
        </w:r>
        <w:proofErr w:type="spellStart"/>
        <w:r w:rsidRPr="003E717C">
          <w:rPr>
            <w:rFonts w:ascii="Source Sans Pro" w:eastAsia="Times New Roman" w:hAnsi="Source Sans Pro" w:cs="Times New Roman"/>
            <w:color w:val="0000FF"/>
            <w:sz w:val="24"/>
            <w:szCs w:val="24"/>
            <w:lang w:eastAsia="it-CH"/>
          </w:rPr>
          <w:t>comments</w:t>
        </w:r>
        <w:proofErr w:type="spellEnd"/>
      </w:hyperlink>
    </w:p>
    <w:p w:rsidR="003E717C" w:rsidRPr="003E717C" w:rsidRDefault="003E717C" w:rsidP="003E717C">
      <w:pPr>
        <w:spacing w:after="0" w:line="0" w:lineRule="auto"/>
        <w:jc w:val="center"/>
        <w:rPr>
          <w:rFonts w:ascii="Times New Roman" w:eastAsia="Times New Roman" w:hAnsi="Times New Roman" w:cs="Times New Roman"/>
          <w:sz w:val="2"/>
          <w:szCs w:val="2"/>
          <w:lang w:eastAsia="it-CH"/>
        </w:rPr>
      </w:pPr>
      <w:r w:rsidRPr="003E717C">
        <w:rPr>
          <w:rFonts w:ascii="Times New Roman" w:eastAsia="Times New Roman" w:hAnsi="Times New Roman" w:cs="Times New Roman"/>
          <w:sz w:val="2"/>
          <w:szCs w:val="2"/>
          <w:lang w:eastAsia="it-CH"/>
        </w:rPr>
        <w:t> </w:t>
      </w:r>
    </w:p>
    <w:p w:rsidR="003E717C" w:rsidRPr="003E717C" w:rsidRDefault="003E717C" w:rsidP="003E717C">
      <w:pPr>
        <w:spacing w:after="0" w:line="0" w:lineRule="auto"/>
        <w:jc w:val="center"/>
        <w:rPr>
          <w:rFonts w:ascii="Times New Roman" w:eastAsia="Times New Roman" w:hAnsi="Times New Roman" w:cs="Times New Roman"/>
          <w:sz w:val="2"/>
          <w:szCs w:val="2"/>
          <w:lang w:eastAsia="it-CH"/>
        </w:rPr>
      </w:pPr>
      <w:r w:rsidRPr="003E717C">
        <w:rPr>
          <w:rFonts w:ascii="Times New Roman" w:eastAsia="Times New Roman" w:hAnsi="Times New Roman" w:cs="Times New Roman"/>
          <w:sz w:val="2"/>
          <w:szCs w:val="2"/>
          <w:lang w:eastAsia="it-CH"/>
        </w:rPr>
        <w:t> </w:t>
      </w:r>
    </w:p>
    <w:p w:rsidR="003E717C" w:rsidRPr="003E717C" w:rsidRDefault="003E717C" w:rsidP="003E717C">
      <w:pPr>
        <w:spacing w:after="0" w:line="0" w:lineRule="auto"/>
        <w:jc w:val="center"/>
        <w:textAlignment w:val="center"/>
        <w:rPr>
          <w:rFonts w:ascii="Source Sans Pro" w:eastAsia="Times New Roman" w:hAnsi="Source Sans Pro" w:cs="Times New Roman"/>
          <w:color w:val="7C7C7C"/>
          <w:sz w:val="2"/>
          <w:szCs w:val="2"/>
          <w:lang w:eastAsia="it-CH"/>
        </w:rPr>
      </w:pPr>
      <w:r w:rsidRPr="003E717C">
        <w:rPr>
          <w:rFonts w:ascii="Source Sans Pro" w:eastAsia="Times New Roman" w:hAnsi="Source Sans Pro" w:cs="Times New Roman"/>
          <w:b/>
          <w:bCs/>
          <w:color w:val="EF7583"/>
          <w:sz w:val="45"/>
          <w:szCs w:val="45"/>
          <w:lang w:eastAsia="it-CH"/>
        </w:rPr>
        <w:t>0</w:t>
      </w:r>
      <w:r w:rsidRPr="003E717C">
        <w:rPr>
          <w:rFonts w:ascii="Source Sans Pro" w:eastAsia="Times New Roman" w:hAnsi="Source Sans Pro" w:cs="Times New Roman"/>
          <w:color w:val="7C7C7C"/>
          <w:sz w:val="2"/>
          <w:szCs w:val="2"/>
          <w:lang w:eastAsia="it-CH"/>
        </w:rPr>
        <w:t> </w:t>
      </w:r>
      <w:r w:rsidRPr="003E717C">
        <w:rPr>
          <w:rFonts w:ascii="Source Sans Pro" w:eastAsia="Times New Roman" w:hAnsi="Source Sans Pro" w:cs="Times New Roman"/>
          <w:color w:val="7C7C7C"/>
          <w:sz w:val="24"/>
          <w:szCs w:val="24"/>
          <w:lang w:eastAsia="it-CH"/>
        </w:rPr>
        <w:t>shares</w:t>
      </w:r>
    </w:p>
    <w:p w:rsidR="003E717C" w:rsidRPr="003E717C" w:rsidRDefault="003E717C" w:rsidP="003E717C">
      <w:pPr>
        <w:shd w:val="clear" w:color="auto" w:fill="FFFFFF"/>
        <w:spacing w:after="375" w:line="240" w:lineRule="auto"/>
        <w:jc w:val="center"/>
        <w:rPr>
          <w:rFonts w:ascii="Source Sans Pro" w:eastAsia="Times New Roman" w:hAnsi="Source Sans Pro" w:cs="Times New Roman"/>
          <w:color w:val="424242"/>
          <w:sz w:val="26"/>
          <w:szCs w:val="26"/>
          <w:lang w:eastAsia="it-CH"/>
        </w:rPr>
      </w:pPr>
      <w:r w:rsidRPr="003E717C">
        <w:rPr>
          <w:rFonts w:ascii="Helv" w:eastAsia="Times New Roman" w:hAnsi="Helv" w:cs="Times New Roman"/>
          <w:color w:val="424242"/>
          <w:sz w:val="48"/>
          <w:szCs w:val="48"/>
          <w:lang w:eastAsia="it-CH"/>
        </w:rPr>
        <w:t>ASSARMATORI: sbloccare subito</w:t>
      </w:r>
    </w:p>
    <w:p w:rsidR="003E717C" w:rsidRPr="003E717C" w:rsidRDefault="003E717C" w:rsidP="003E717C">
      <w:pPr>
        <w:shd w:val="clear" w:color="auto" w:fill="FFFFFF"/>
        <w:spacing w:after="375" w:line="240" w:lineRule="auto"/>
        <w:jc w:val="center"/>
        <w:rPr>
          <w:rFonts w:ascii="Source Sans Pro" w:eastAsia="Times New Roman" w:hAnsi="Source Sans Pro" w:cs="Times New Roman"/>
          <w:color w:val="424242"/>
          <w:sz w:val="26"/>
          <w:szCs w:val="26"/>
          <w:lang w:eastAsia="it-CH"/>
        </w:rPr>
      </w:pPr>
      <w:proofErr w:type="gramStart"/>
      <w:r w:rsidRPr="003E717C">
        <w:rPr>
          <w:rFonts w:ascii="Helv" w:eastAsia="Times New Roman" w:hAnsi="Helv" w:cs="Times New Roman"/>
          <w:color w:val="424242"/>
          <w:sz w:val="48"/>
          <w:szCs w:val="48"/>
          <w:lang w:eastAsia="it-CH"/>
        </w:rPr>
        <w:t>i</w:t>
      </w:r>
      <w:proofErr w:type="gramEnd"/>
      <w:r w:rsidRPr="003E717C">
        <w:rPr>
          <w:rFonts w:ascii="Helv" w:eastAsia="Times New Roman" w:hAnsi="Helv" w:cs="Times New Roman"/>
          <w:color w:val="424242"/>
          <w:sz w:val="48"/>
          <w:szCs w:val="48"/>
          <w:lang w:eastAsia="it-CH"/>
        </w:rPr>
        <w:t xml:space="preserve"> fondi per rinnovare la flotta</w:t>
      </w:r>
    </w:p>
    <w:p w:rsidR="003E717C" w:rsidRPr="003E717C" w:rsidRDefault="003E717C" w:rsidP="003E717C">
      <w:pPr>
        <w:shd w:val="clear" w:color="auto" w:fill="FFFFFF"/>
        <w:spacing w:after="375" w:line="240" w:lineRule="auto"/>
        <w:rPr>
          <w:rFonts w:ascii="Source Sans Pro" w:eastAsia="Times New Roman" w:hAnsi="Source Sans Pro" w:cs="Times New Roman"/>
          <w:color w:val="424242"/>
          <w:sz w:val="26"/>
          <w:szCs w:val="26"/>
          <w:lang w:eastAsia="it-CH"/>
        </w:rPr>
      </w:pPr>
      <w:r w:rsidRPr="003E717C">
        <w:rPr>
          <w:rFonts w:ascii="Arial" w:eastAsia="Times New Roman" w:hAnsi="Arial" w:cs="Arial"/>
          <w:color w:val="424242"/>
          <w:sz w:val="26"/>
          <w:szCs w:val="26"/>
          <w:lang w:eastAsia="it-CH"/>
        </w:rPr>
        <w:t xml:space="preserve">Se si vogliono raggiungere gli obiettivi di una “Rivoluzione verde” e di una “Transizione energetica”, come richiesto esplicitamente dal progetto </w:t>
      </w:r>
      <w:proofErr w:type="spellStart"/>
      <w:r w:rsidRPr="003E717C">
        <w:rPr>
          <w:rFonts w:ascii="Arial" w:eastAsia="Times New Roman" w:hAnsi="Arial" w:cs="Arial"/>
          <w:color w:val="424242"/>
          <w:sz w:val="26"/>
          <w:szCs w:val="26"/>
          <w:lang w:eastAsia="it-CH"/>
        </w:rPr>
        <w:t>Next</w:t>
      </w:r>
      <w:proofErr w:type="spellEnd"/>
      <w:r w:rsidRPr="003E717C">
        <w:rPr>
          <w:rFonts w:ascii="Arial" w:eastAsia="Times New Roman" w:hAnsi="Arial" w:cs="Arial"/>
          <w:color w:val="424242"/>
          <w:sz w:val="26"/>
          <w:szCs w:val="26"/>
          <w:lang w:eastAsia="it-CH"/>
        </w:rPr>
        <w:t xml:space="preserve"> Generation EU, servono interventi decisi per favorire il rinnovo delle flotte impegnate nel trasporto marittimo di merci e passeggeri. È quanto ribadito oggi da Stefano Messina, Presidente di ASSARMATORI, aderente a </w:t>
      </w:r>
      <w:proofErr w:type="spellStart"/>
      <w:r w:rsidRPr="003E717C">
        <w:rPr>
          <w:rFonts w:ascii="Arial" w:eastAsia="Times New Roman" w:hAnsi="Arial" w:cs="Arial"/>
          <w:color w:val="424242"/>
          <w:sz w:val="26"/>
          <w:szCs w:val="26"/>
          <w:lang w:eastAsia="it-CH"/>
        </w:rPr>
        <w:t>Conftrasporto</w:t>
      </w:r>
      <w:proofErr w:type="spellEnd"/>
      <w:r w:rsidRPr="003E717C">
        <w:rPr>
          <w:rFonts w:ascii="Arial" w:eastAsia="Times New Roman" w:hAnsi="Arial" w:cs="Arial"/>
          <w:color w:val="424242"/>
          <w:sz w:val="26"/>
          <w:szCs w:val="26"/>
          <w:lang w:eastAsia="it-CH"/>
        </w:rPr>
        <w:t>-Confcommercio, nel corso dell’audizione organizzata dalla IX Commissione (Trasporti) della Camera, sul Piano Nazionale di Ripresa e Resilienza” (PNRR).</w:t>
      </w:r>
    </w:p>
    <w:p w:rsidR="003E717C" w:rsidRPr="003E717C" w:rsidRDefault="003E717C" w:rsidP="003E717C">
      <w:pPr>
        <w:shd w:val="clear" w:color="auto" w:fill="FFFFFF"/>
        <w:spacing w:after="375" w:line="240" w:lineRule="auto"/>
        <w:rPr>
          <w:rFonts w:ascii="Source Sans Pro" w:eastAsia="Times New Roman" w:hAnsi="Source Sans Pro" w:cs="Times New Roman"/>
          <w:color w:val="424242"/>
          <w:sz w:val="26"/>
          <w:szCs w:val="26"/>
          <w:lang w:eastAsia="it-CH"/>
        </w:rPr>
      </w:pPr>
      <w:r w:rsidRPr="003E717C">
        <w:rPr>
          <w:rFonts w:ascii="Source Sans Pro" w:eastAsia="Times New Roman" w:hAnsi="Source Sans Pro" w:cs="Times New Roman"/>
          <w:color w:val="424242"/>
          <w:sz w:val="26"/>
          <w:szCs w:val="26"/>
          <w:lang w:eastAsia="it-CH"/>
        </w:rPr>
        <w:t>“</w:t>
      </w:r>
      <w:r w:rsidRPr="003E717C">
        <w:rPr>
          <w:rFonts w:ascii="Arial" w:eastAsia="Times New Roman" w:hAnsi="Arial" w:cs="Arial"/>
          <w:color w:val="424242"/>
          <w:sz w:val="26"/>
          <w:szCs w:val="26"/>
          <w:lang w:eastAsia="it-CH"/>
        </w:rPr>
        <w:t xml:space="preserve">Nella versione definitiva del Piano – ha ricordato Messina – è stata totalmente cancellata la posta di 2 miliardi per gli aiuti al rinnovamento delle flotte impegnate nelle rotte di cabotaggio e collegamento con le isole minori e maggiori, mentre sono rimasti i finanziamenti per il Piano Nazionale del </w:t>
      </w:r>
      <w:proofErr w:type="spellStart"/>
      <w:r w:rsidRPr="003E717C">
        <w:rPr>
          <w:rFonts w:ascii="Arial" w:eastAsia="Times New Roman" w:hAnsi="Arial" w:cs="Arial"/>
          <w:color w:val="424242"/>
          <w:sz w:val="26"/>
          <w:szCs w:val="26"/>
          <w:lang w:eastAsia="it-CH"/>
        </w:rPr>
        <w:t>Cold-Ironing</w:t>
      </w:r>
      <w:proofErr w:type="spellEnd"/>
      <w:r w:rsidRPr="003E717C">
        <w:rPr>
          <w:rFonts w:ascii="Arial" w:eastAsia="Times New Roman" w:hAnsi="Arial" w:cs="Arial"/>
          <w:color w:val="424242"/>
          <w:sz w:val="26"/>
          <w:szCs w:val="26"/>
          <w:lang w:eastAsia="it-CH"/>
        </w:rPr>
        <w:t>, ovvero la cosiddetta elettrificazione delle banchine”.</w:t>
      </w:r>
    </w:p>
    <w:p w:rsidR="003E717C" w:rsidRPr="003E717C" w:rsidRDefault="003E717C" w:rsidP="003E717C">
      <w:pPr>
        <w:shd w:val="clear" w:color="auto" w:fill="FFFFFF"/>
        <w:spacing w:line="240" w:lineRule="auto"/>
        <w:rPr>
          <w:rFonts w:ascii="Source Sans Pro" w:eastAsia="Times New Roman" w:hAnsi="Source Sans Pro" w:cs="Times New Roman"/>
          <w:color w:val="424242"/>
          <w:sz w:val="26"/>
          <w:szCs w:val="26"/>
          <w:lang w:eastAsia="it-CH"/>
        </w:rPr>
      </w:pPr>
      <w:r w:rsidRPr="003E717C">
        <w:rPr>
          <w:rFonts w:ascii="Source Sans Pro" w:eastAsia="Times New Roman" w:hAnsi="Source Sans Pro" w:cs="Times New Roman"/>
          <w:color w:val="424242"/>
          <w:sz w:val="26"/>
          <w:szCs w:val="26"/>
          <w:lang w:eastAsia="it-CH"/>
        </w:rPr>
        <w:t>“</w:t>
      </w:r>
      <w:r w:rsidRPr="003E717C">
        <w:rPr>
          <w:rFonts w:ascii="Arial" w:eastAsia="Times New Roman" w:hAnsi="Arial" w:cs="Arial"/>
          <w:color w:val="424242"/>
          <w:sz w:val="26"/>
          <w:szCs w:val="26"/>
          <w:lang w:eastAsia="it-CH"/>
        </w:rPr>
        <w:t xml:space="preserve">Nella sua stesura attuale il Piano prevede che una parte rilevante delle risorse disponibili siano destinate all’elettrificazione di ben 41 porti, di cui 39 della rete TEN-T (circa 950 milioni di euro). Ma a prescindere dalla constatazione che le risorse messe in campo per l’infrastrutturazione dei porti potrebbero essere insufficienti per portare a termine un programma così ambizioso, noi riteniamo che la transizione energetica delle flotte (misura ritenuta ammissibile da parte della EU) debba essere comunque rimessa al centro del programma. Se si vuole parlare di </w:t>
      </w:r>
      <w:proofErr w:type="spellStart"/>
      <w:r w:rsidRPr="003E717C">
        <w:rPr>
          <w:rFonts w:ascii="Arial" w:eastAsia="Times New Roman" w:hAnsi="Arial" w:cs="Arial"/>
          <w:color w:val="424242"/>
          <w:sz w:val="26"/>
          <w:szCs w:val="26"/>
          <w:lang w:eastAsia="it-CH"/>
        </w:rPr>
        <w:t>Cold-Ironing</w:t>
      </w:r>
      <w:proofErr w:type="spellEnd"/>
      <w:r w:rsidRPr="003E717C">
        <w:rPr>
          <w:rFonts w:ascii="Arial" w:eastAsia="Times New Roman" w:hAnsi="Arial" w:cs="Arial"/>
          <w:color w:val="424242"/>
          <w:sz w:val="26"/>
          <w:szCs w:val="26"/>
          <w:lang w:eastAsia="it-CH"/>
        </w:rPr>
        <w:t xml:space="preserve"> è necessario, da una parte, finanziare solo iniziative in porti con linee regolari di traghetto che si trovino in località ad alta intensità di popolazione e movimento passeggeri, solo così si potrà attuare una politica virtuosa di protezione dell’ambiente. Dall’altra dovranno essere sostenuti contemporaneamente gli interventi nei porti e sulle navi, legando eventualmente il finanziamento di queste ultime al mantenimento della linea con il porto o con i porti interessati”.</w:t>
      </w:r>
    </w:p>
    <w:p w:rsidR="00AE7E09" w:rsidRDefault="00AE7E09"/>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Times New Roman"/>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17C"/>
    <w:rsid w:val="0011531C"/>
    <w:rsid w:val="003E717C"/>
    <w:rsid w:val="006A438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4639E2-39C9-4E58-A54C-0A703CD5B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3E717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E717C"/>
    <w:rPr>
      <w:rFonts w:ascii="Times New Roman" w:eastAsia="Times New Roman" w:hAnsi="Times New Roman" w:cs="Times New Roman"/>
      <w:b/>
      <w:bCs/>
      <w:kern w:val="36"/>
      <w:sz w:val="48"/>
      <w:szCs w:val="48"/>
      <w:lang w:eastAsia="it-CH"/>
    </w:rPr>
  </w:style>
  <w:style w:type="character" w:styleId="Collegamentoipertestuale">
    <w:name w:val="Hyperlink"/>
    <w:basedOn w:val="Carpredefinitoparagrafo"/>
    <w:uiPriority w:val="99"/>
    <w:semiHidden/>
    <w:unhideWhenUsed/>
    <w:rsid w:val="003E717C"/>
    <w:rPr>
      <w:color w:val="0000FF"/>
      <w:u w:val="single"/>
    </w:rPr>
  </w:style>
  <w:style w:type="character" w:customStyle="1" w:styleId="blog-post-meta-share-count-num">
    <w:name w:val="blog-post-meta-share-count-num"/>
    <w:basedOn w:val="Carpredefinitoparagrafo"/>
    <w:rsid w:val="003E717C"/>
  </w:style>
  <w:style w:type="character" w:customStyle="1" w:styleId="blog-post-meta-share-count-text">
    <w:name w:val="blog-post-meta-share-count-text"/>
    <w:basedOn w:val="Carpredefinitoparagrafo"/>
    <w:rsid w:val="003E717C"/>
  </w:style>
  <w:style w:type="paragraph" w:customStyle="1" w:styleId="western">
    <w:name w:val="western"/>
    <w:basedOn w:val="Normale"/>
    <w:rsid w:val="003E717C"/>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381088">
      <w:bodyDiv w:val="1"/>
      <w:marLeft w:val="0"/>
      <w:marRight w:val="0"/>
      <w:marTop w:val="0"/>
      <w:marBottom w:val="0"/>
      <w:divBdr>
        <w:top w:val="none" w:sz="0" w:space="0" w:color="auto"/>
        <w:left w:val="none" w:sz="0" w:space="0" w:color="auto"/>
        <w:bottom w:val="none" w:sz="0" w:space="0" w:color="auto"/>
        <w:right w:val="none" w:sz="0" w:space="0" w:color="auto"/>
      </w:divBdr>
      <w:divsChild>
        <w:div w:id="1580867512">
          <w:marLeft w:val="0"/>
          <w:marRight w:val="0"/>
          <w:marTop w:val="0"/>
          <w:marBottom w:val="0"/>
          <w:divBdr>
            <w:top w:val="none" w:sz="0" w:space="0" w:color="auto"/>
            <w:left w:val="none" w:sz="0" w:space="0" w:color="auto"/>
            <w:bottom w:val="none" w:sz="0" w:space="0" w:color="auto"/>
            <w:right w:val="none" w:sz="0" w:space="0" w:color="auto"/>
          </w:divBdr>
          <w:divsChild>
            <w:div w:id="1032609437">
              <w:marLeft w:val="0"/>
              <w:marRight w:val="0"/>
              <w:marTop w:val="0"/>
              <w:marBottom w:val="0"/>
              <w:divBdr>
                <w:top w:val="none" w:sz="0" w:space="0" w:color="auto"/>
                <w:left w:val="none" w:sz="0" w:space="0" w:color="auto"/>
                <w:bottom w:val="none" w:sz="0" w:space="0" w:color="auto"/>
                <w:right w:val="none" w:sz="0" w:space="0" w:color="auto"/>
              </w:divBdr>
              <w:divsChild>
                <w:div w:id="1654094658">
                  <w:marLeft w:val="0"/>
                  <w:marRight w:val="0"/>
                  <w:marTop w:val="0"/>
                  <w:marBottom w:val="0"/>
                  <w:divBdr>
                    <w:top w:val="none" w:sz="0" w:space="0" w:color="auto"/>
                    <w:left w:val="none" w:sz="0" w:space="0" w:color="auto"/>
                    <w:bottom w:val="none" w:sz="0" w:space="0" w:color="auto"/>
                    <w:right w:val="none" w:sz="0" w:space="0" w:color="auto"/>
                  </w:divBdr>
                  <w:divsChild>
                    <w:div w:id="1724022719">
                      <w:marLeft w:val="0"/>
                      <w:marRight w:val="0"/>
                      <w:marTop w:val="75"/>
                      <w:marBottom w:val="0"/>
                      <w:divBdr>
                        <w:top w:val="none" w:sz="0" w:space="0" w:color="auto"/>
                        <w:left w:val="none" w:sz="0" w:space="0" w:color="auto"/>
                        <w:bottom w:val="none" w:sz="0" w:space="0" w:color="auto"/>
                        <w:right w:val="none" w:sz="0" w:space="0" w:color="auto"/>
                      </w:divBdr>
                      <w:divsChild>
                        <w:div w:id="8332305">
                          <w:marLeft w:val="0"/>
                          <w:marRight w:val="0"/>
                          <w:marTop w:val="0"/>
                          <w:marBottom w:val="105"/>
                          <w:divBdr>
                            <w:top w:val="none" w:sz="0" w:space="0" w:color="auto"/>
                            <w:left w:val="none" w:sz="0" w:space="0" w:color="auto"/>
                            <w:bottom w:val="none" w:sz="0" w:space="0" w:color="auto"/>
                            <w:right w:val="none" w:sz="0" w:space="0" w:color="auto"/>
                          </w:divBdr>
                        </w:div>
                        <w:div w:id="72360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838611">
                  <w:marLeft w:val="0"/>
                  <w:marRight w:val="0"/>
                  <w:marTop w:val="0"/>
                  <w:marBottom w:val="0"/>
                  <w:divBdr>
                    <w:top w:val="none" w:sz="0" w:space="0" w:color="auto"/>
                    <w:left w:val="none" w:sz="0" w:space="0" w:color="auto"/>
                    <w:bottom w:val="none" w:sz="0" w:space="0" w:color="auto"/>
                    <w:right w:val="none" w:sz="0" w:space="0" w:color="auto"/>
                  </w:divBdr>
                </w:div>
                <w:div w:id="380061248">
                  <w:marLeft w:val="0"/>
                  <w:marRight w:val="0"/>
                  <w:marTop w:val="0"/>
                  <w:marBottom w:val="0"/>
                  <w:divBdr>
                    <w:top w:val="none" w:sz="0" w:space="0" w:color="auto"/>
                    <w:left w:val="none" w:sz="0" w:space="0" w:color="auto"/>
                    <w:bottom w:val="none" w:sz="0" w:space="0" w:color="auto"/>
                    <w:right w:val="none" w:sz="0" w:space="0" w:color="auto"/>
                  </w:divBdr>
                </w:div>
                <w:div w:id="71493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84749">
          <w:marLeft w:val="0"/>
          <w:marRight w:val="0"/>
          <w:marTop w:val="0"/>
          <w:marBottom w:val="0"/>
          <w:divBdr>
            <w:top w:val="none" w:sz="0" w:space="0" w:color="auto"/>
            <w:left w:val="none" w:sz="0" w:space="0" w:color="auto"/>
            <w:bottom w:val="none" w:sz="0" w:space="0" w:color="auto"/>
            <w:right w:val="none" w:sz="0" w:space="0" w:color="auto"/>
          </w:divBdr>
          <w:divsChild>
            <w:div w:id="1553687758">
              <w:marLeft w:val="0"/>
              <w:marRight w:val="0"/>
              <w:marTop w:val="0"/>
              <w:marBottom w:val="0"/>
              <w:divBdr>
                <w:top w:val="none" w:sz="0" w:space="0" w:color="auto"/>
                <w:left w:val="none" w:sz="0" w:space="0" w:color="auto"/>
                <w:bottom w:val="none" w:sz="0" w:space="0" w:color="auto"/>
                <w:right w:val="none" w:sz="0" w:space="0" w:color="auto"/>
              </w:divBdr>
              <w:divsChild>
                <w:div w:id="182985372">
                  <w:marLeft w:val="0"/>
                  <w:marRight w:val="389"/>
                  <w:marTop w:val="0"/>
                  <w:marBottom w:val="0"/>
                  <w:divBdr>
                    <w:top w:val="none" w:sz="0" w:space="0" w:color="auto"/>
                    <w:left w:val="none" w:sz="0" w:space="0" w:color="auto"/>
                    <w:bottom w:val="none" w:sz="0" w:space="0" w:color="auto"/>
                    <w:right w:val="none" w:sz="0" w:space="0" w:color="auto"/>
                  </w:divBdr>
                  <w:divsChild>
                    <w:div w:id="1890726979">
                      <w:marLeft w:val="0"/>
                      <w:marRight w:val="0"/>
                      <w:marTop w:val="0"/>
                      <w:marBottom w:val="6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eventiculturalimagazine.com/comunicati-stampa/assarmatori-sbloccare-subito-fondi-rinnovare-la-flott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venticulturalimagazine.com/category/comunicati-stampa/eventi-italia/" TargetMode="External"/><Relationship Id="rId5" Type="http://schemas.openxmlformats.org/officeDocument/2006/relationships/hyperlink" Target="https://www.eventiculturalimagazine.com/category/comunicati-stampa/" TargetMode="External"/><Relationship Id="rId4" Type="http://schemas.openxmlformats.org/officeDocument/2006/relationships/hyperlink" Target="https://www.eventiculturalimagazine.com/author/eventiculturalimagazine/"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386</Words>
  <Characters>2202</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dcterms:created xsi:type="dcterms:W3CDTF">2021-02-03T07:52:00Z</dcterms:created>
  <dcterms:modified xsi:type="dcterms:W3CDTF">2021-02-03T07:53:00Z</dcterms:modified>
</cp:coreProperties>
</file>